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A957">
      <w:pPr>
        <w:widowControl/>
        <w:spacing w:after="0" w:line="420" w:lineRule="atLeast"/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24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14:ligatures w14:val="none"/>
        </w:rPr>
        <w:t>国家水土保持重点工程玉华山和小石桥小流域综合治理项目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lang w:eastAsia="zh-CN"/>
          <w14:ligatures w14:val="none"/>
        </w:rPr>
        <w:t>通过竣工验收</w:t>
      </w:r>
    </w:p>
    <w:p w14:paraId="2148A6F6">
      <w:pPr>
        <w:widowControl/>
        <w:spacing w:after="0" w:line="420" w:lineRule="atLeast"/>
        <w:jc w:val="left"/>
        <w:rPr>
          <w:rFonts w:ascii="宋体" w:hAnsi="宋体" w:eastAsia="宋体" w:cs="宋体"/>
          <w:color w:val="000000"/>
          <w:kern w:val="0"/>
          <w:sz w:val="24"/>
          <w14:ligatures w14:val="none"/>
        </w:rPr>
      </w:pPr>
    </w:p>
    <w:p w14:paraId="56B50A66">
      <w:pPr>
        <w:widowControl/>
        <w:spacing w:after="0" w:line="42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  <w14:ligatures w14:val="none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近日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溧阳市</w:t>
      </w:r>
      <w:r>
        <w:rPr>
          <w:rFonts w:hint="eastAsia" w:ascii="Arial" w:hAnsi="Arial" w:eastAsia="宋体" w:cs="Arial"/>
          <w:color w:val="000000"/>
          <w:kern w:val="0"/>
          <w:sz w:val="24"/>
          <w14:ligatures w14:val="none"/>
        </w:rPr>
        <w:t>玉华山和小石桥</w:t>
      </w:r>
      <w:r>
        <w:rPr>
          <w:rFonts w:ascii="Arial" w:hAnsi="Arial" w:eastAsia="宋体" w:cs="Arial"/>
          <w:color w:val="000000"/>
          <w:kern w:val="0"/>
          <w:sz w:val="24"/>
          <w14:ligatures w14:val="none"/>
        </w:rPr>
        <w:t>小流域综合治理项目</w:t>
      </w: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顺利通过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市水利局组织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  <w14:ligatures w14:val="none"/>
        </w:rPr>
        <w:t>的工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程竣工</w:t>
      </w: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验收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  <w14:ligatures w14:val="none"/>
        </w:rPr>
        <w:t>。这是全市实施完成又一项</w:t>
      </w:r>
      <w:r>
        <w:rPr>
          <w:rFonts w:ascii="Arial" w:hAnsi="Arial" w:eastAsia="宋体" w:cs="Arial"/>
          <w:color w:val="000000"/>
          <w:kern w:val="0"/>
          <w:sz w:val="24"/>
          <w14:ligatures w14:val="none"/>
        </w:rPr>
        <w:t>国家水土保持重点工程</w:t>
      </w:r>
      <w:r>
        <w:rPr>
          <w:rFonts w:hint="eastAsia" w:ascii="Arial" w:hAnsi="Arial" w:eastAsia="宋体" w:cs="Arial"/>
          <w:color w:val="000000"/>
          <w:kern w:val="0"/>
          <w:sz w:val="24"/>
          <w:lang w:eastAsia="zh-CN"/>
          <w14:ligatures w14:val="none"/>
        </w:rPr>
        <w:t>。</w:t>
      </w:r>
    </w:p>
    <w:p w14:paraId="46569E95">
      <w:pPr>
        <w:widowControl/>
        <w:spacing w:after="0" w:line="240" w:lineRule="auto"/>
        <w:rPr>
          <w:rFonts w:hint="eastAsia" w:ascii="宋体" w:hAnsi="宋体" w:eastAsia="宋体" w:cs="宋体"/>
          <w:kern w:val="0"/>
          <w:sz w:val="24"/>
          <w14:ligatures w14:val="none"/>
        </w:rPr>
      </w:pPr>
      <w:r>
        <w:drawing>
          <wp:inline distT="0" distB="0" distL="0" distR="0">
            <wp:extent cx="5273675" cy="2440940"/>
            <wp:effectExtent l="0" t="0" r="3175" b="0"/>
            <wp:docPr id="11331019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0198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9" b="1259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D55BB">
      <w:pPr>
        <w:widowControl/>
        <w:spacing w:after="0" w:line="240" w:lineRule="auto"/>
        <w:rPr>
          <w:rFonts w:ascii="宋体" w:hAnsi="宋体" w:eastAsia="宋体" w:cs="宋体"/>
          <w:kern w:val="0"/>
          <w:sz w:val="24"/>
          <w14:ligatures w14:val="none"/>
        </w:rPr>
      </w:pPr>
      <w:r>
        <w:drawing>
          <wp:inline distT="0" distB="0" distL="0" distR="0">
            <wp:extent cx="5274310" cy="3223895"/>
            <wp:effectExtent l="0" t="0" r="2540" b="0"/>
            <wp:docPr id="13676692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69268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9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DAF3">
      <w:pPr>
        <w:widowControl/>
        <w:spacing w:after="0" w:line="240" w:lineRule="auto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14:ligatures w14:val="none"/>
        </w:rPr>
        <w:t>小流域河段施工前后对比</w:t>
      </w:r>
    </w:p>
    <w:p w14:paraId="359EC771">
      <w:pPr>
        <w:widowControl/>
        <w:spacing w:before="100" w:beforeAutospacing="1" w:after="100" w:afterAutospacing="1" w:line="420" w:lineRule="atLeast"/>
        <w:ind w:firstLine="531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该项目位于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溧阳市别桥镇西北部</w:t>
      </w:r>
      <w:r>
        <w:rPr>
          <w:rFonts w:ascii="宋体" w:hAnsi="宋体" w:eastAsia="宋体" w:cs="宋体"/>
          <w:kern w:val="0"/>
          <w:sz w:val="24"/>
          <w14:ligatures w14:val="none"/>
        </w:rPr>
        <w:t>，流域面积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17.07</w:t>
      </w:r>
      <w:r>
        <w:rPr>
          <w:rFonts w:ascii="宋体" w:hAnsi="宋体" w:eastAsia="宋体" w:cs="宋体"/>
          <w:kern w:val="0"/>
          <w:sz w:val="24"/>
          <w14:ligatures w14:val="none"/>
        </w:rPr>
        <w:t>平方公里，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小流域内部地形高低起伏，以低山丘陵地形为主</w:t>
      </w:r>
      <w:r>
        <w:rPr>
          <w:rFonts w:ascii="宋体" w:hAnsi="宋体" w:eastAsia="宋体" w:cs="宋体"/>
          <w:kern w:val="0"/>
          <w:sz w:val="24"/>
          <w14:ligatures w14:val="none"/>
        </w:rPr>
        <w:t>本次综合治理面积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15</w:t>
      </w:r>
      <w:r>
        <w:rPr>
          <w:rFonts w:ascii="宋体" w:hAnsi="宋体" w:eastAsia="宋体" w:cs="宋体"/>
          <w:kern w:val="0"/>
          <w:sz w:val="24"/>
          <w14:ligatures w14:val="none"/>
        </w:rPr>
        <w:t>平方公里。项目总投资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1538.74</w:t>
      </w:r>
      <w:r>
        <w:rPr>
          <w:rFonts w:ascii="宋体" w:hAnsi="宋体" w:eastAsia="宋体" w:cs="宋体"/>
          <w:kern w:val="0"/>
          <w:sz w:val="24"/>
          <w14:ligatures w14:val="none"/>
        </w:rPr>
        <w:t>万元，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根据“山水林田湖草沙”系统治理理念</w:t>
      </w:r>
      <w:r>
        <w:rPr>
          <w:rFonts w:ascii="宋体" w:hAnsi="宋体" w:eastAsia="宋体" w:cs="宋体"/>
          <w:kern w:val="0"/>
          <w:sz w:val="24"/>
          <w14:ligatures w14:val="none"/>
        </w:rPr>
        <w:t>，形成“工程措施、林草措施、保土耕作措施”三位一体防治体系。工程措施上，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除去房屋段、鱼塘段采用仿木桩护岸，其他河段护岸工程选择生态性能优越、土方开挖较小的砼砌块生态护岸，护岸工程共计完成5.1公里；完成清淤2.58万立方米；机耕路道路1.3公里</w:t>
      </w:r>
      <w:r>
        <w:rPr>
          <w:rFonts w:ascii="宋体" w:hAnsi="宋体" w:eastAsia="宋体" w:cs="宋体"/>
          <w:kern w:val="0"/>
          <w:sz w:val="24"/>
          <w14:ligatures w14:val="none"/>
        </w:rPr>
        <w:t>。林草措施中，在河道岸坡实施植物防护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1.33</w:t>
      </w:r>
      <w:r>
        <w:rPr>
          <w:rFonts w:ascii="宋体" w:hAnsi="宋体" w:eastAsia="宋体" w:cs="宋体"/>
          <w:kern w:val="0"/>
          <w:sz w:val="24"/>
          <w14:ligatures w14:val="none"/>
        </w:rPr>
        <w:t>万平方米。保土耕作措施则对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4.91平方公里</w:t>
      </w:r>
      <w:r>
        <w:rPr>
          <w:rFonts w:ascii="宋体" w:hAnsi="宋体" w:eastAsia="宋体" w:cs="宋体"/>
          <w:kern w:val="0"/>
          <w:sz w:val="24"/>
          <w14:ligatures w14:val="none"/>
        </w:rPr>
        <w:t>耕地实施秸秆覆盖，通过农业技术改良提升土壤保水保肥能力。</w:t>
      </w:r>
    </w:p>
    <w:p w14:paraId="6263D656">
      <w:pPr>
        <w:widowControl/>
        <w:spacing w:after="0" w:line="420" w:lineRule="atLeast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下一步</w:t>
      </w:r>
      <w:r>
        <w:rPr>
          <w:rFonts w:hint="eastAsia" w:ascii="宋体" w:hAnsi="宋体" w:eastAsia="宋体" w:cs="宋体"/>
          <w:kern w:val="0"/>
          <w:sz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市</w:t>
      </w:r>
      <w:r>
        <w:rPr>
          <w:rFonts w:ascii="宋体" w:hAnsi="宋体" w:eastAsia="宋体" w:cs="宋体"/>
          <w:kern w:val="0"/>
          <w:sz w:val="24"/>
          <w14:ligatures w14:val="none"/>
        </w:rPr>
        <w:t>水利局将持续推进生态清洁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型</w:t>
      </w:r>
      <w:r>
        <w:rPr>
          <w:rFonts w:ascii="宋体" w:hAnsi="宋体" w:eastAsia="宋体" w:cs="宋体"/>
          <w:kern w:val="0"/>
          <w:sz w:val="24"/>
          <w14:ligatures w14:val="none"/>
        </w:rPr>
        <w:t>小流域建设</w:t>
      </w:r>
      <w:r>
        <w:rPr>
          <w:rFonts w:hint="eastAsia" w:ascii="宋体" w:hAnsi="宋体" w:eastAsia="宋体" w:cs="宋体"/>
          <w:kern w:val="0"/>
          <w:sz w:val="24"/>
          <w:lang w:eastAsia="zh-CN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14:ligatures w14:val="none"/>
        </w:rPr>
        <w:t>强化后期维护管理</w:t>
      </w:r>
      <w:r>
        <w:rPr>
          <w:rFonts w:hint="eastAsia" w:ascii="宋体" w:hAnsi="宋体" w:eastAsia="宋体" w:cs="宋体"/>
          <w:kern w:val="0"/>
          <w:sz w:val="24"/>
          <w:lang w:eastAsia="zh-CN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14:ligatures w14:val="none"/>
        </w:rPr>
        <w:t>推动水土保持与乡村振兴深度融合</w:t>
      </w:r>
      <w:r>
        <w:rPr>
          <w:rFonts w:hint="eastAsia" w:ascii="宋体" w:hAnsi="宋体" w:eastAsia="宋体" w:cs="宋体"/>
          <w:kern w:val="0"/>
          <w:sz w:val="24"/>
          <w:lang w:eastAsia="zh-CN"/>
          <w14:ligatures w14:val="none"/>
        </w:rPr>
        <w:t>，</w:t>
      </w:r>
      <w:r>
        <w:rPr>
          <w:rFonts w:ascii="宋体" w:hAnsi="宋体" w:eastAsia="宋体" w:cs="宋体"/>
          <w:kern w:val="0"/>
          <w:sz w:val="24"/>
          <w14:ligatures w14:val="none"/>
        </w:rPr>
        <w:t>为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助力常州市高质量发展夯实水保生态屏障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F5"/>
    <w:rsid w:val="005D500D"/>
    <w:rsid w:val="006D0A72"/>
    <w:rsid w:val="007C5B28"/>
    <w:rsid w:val="00833864"/>
    <w:rsid w:val="00851D09"/>
    <w:rsid w:val="00B42442"/>
    <w:rsid w:val="00DB71F5"/>
    <w:rsid w:val="042C4A18"/>
    <w:rsid w:val="05656433"/>
    <w:rsid w:val="34A45FE9"/>
    <w:rsid w:val="5C151A30"/>
    <w:rsid w:val="636C1342"/>
    <w:rsid w:val="64A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d5552d6d-3cd0-461e-b2f2-211d3f0c7315</errorID>
      <errorWord>工</errorWord>
      <group>L1_Grammar</group>
      <groupName>语法问题</groupName>
      <ability>L2_Order</ability>
      <abilityName>语序不当</abilityName>
      <candidateList>
        <item>的工</item>
      </candidateList>
      <explain>句子可能没有遵循时空、逻辑顺序，或者介词、关联词等位置不当。</explain>
      <paraID>56B50A66</paraID>
      <start>32</start>
      <end>34</end>
      <status>modified</status>
      <modifiedWord>的工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717cdd-fcb3-448c-9759-ecbb9f57c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515</Characters>
  <Lines>17</Lines>
  <Paragraphs>11</Paragraphs>
  <TotalTime>11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2026-01-15T02:59:00Z</dcterms:created>
  <dc:creator>周本浩</dc:creator>
  <cp:lastModifiedBy>清水</cp:lastModifiedBy>
  <dcterms:modified xsi:type="dcterms:W3CDTF">2026-01-19T02:45:37Z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eyJoZGlkIjoiZGRmNjcxODk3YjVhYmUwNWFkZDBiMmY2NzUyMjZiYTQiLCJ1c2VySWQiOiI2MTc1MzY5NDYifQ==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5B64AB17C9894CB8849727AF16F4061C_13</vt:lpwstr>
  </property>
</Properties>
</file>